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2FCD" w14:textId="3C19113F" w:rsidR="00460171" w:rsidRPr="00313CDF" w:rsidRDefault="00460171" w:rsidP="00460171">
      <w:pPr>
        <w:jc w:val="both"/>
        <w:rPr>
          <w:rFonts w:ascii="Garamond" w:eastAsiaTheme="minorHAnsi" w:hAnsi="Garamond"/>
          <w:bCs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Na temelju članka 31. stavka 3. Zakona o postupanju s nezakonito izgrađenim zgradama („Narodne novine“ broj 86/12, 143/13, 65/17, 14/19) i 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>članka 20. Statuta Općine Tinjan („Službene novine Općine Tinjan“ broj 04/17 – pročišćeni tekst, 3/20,3/21</w:t>
      </w:r>
      <w:r w:rsidR="00AF3A2F" w:rsidRPr="00313CDF">
        <w:rPr>
          <w:rFonts w:ascii="Garamond" w:eastAsiaTheme="minorHAnsi" w:hAnsi="Garamond"/>
          <w:bCs/>
          <w:sz w:val="22"/>
          <w:szCs w:val="22"/>
          <w:lang w:eastAsia="en-US"/>
        </w:rPr>
        <w:t>, 2/22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), Općinsko vijeće Općine Tinjan na sjednici održanoj dana </w:t>
      </w:r>
      <w:r w:rsidR="00991184" w:rsidRPr="00313CDF">
        <w:rPr>
          <w:rFonts w:ascii="Garamond" w:eastAsiaTheme="minorHAnsi" w:hAnsi="Garamond"/>
          <w:bCs/>
          <w:sz w:val="22"/>
          <w:szCs w:val="22"/>
          <w:lang w:eastAsia="en-US"/>
        </w:rPr>
        <w:t>1</w:t>
      </w:r>
      <w:r w:rsidR="00A40A6D" w:rsidRPr="00313CDF">
        <w:rPr>
          <w:rFonts w:ascii="Garamond" w:eastAsiaTheme="minorHAnsi" w:hAnsi="Garamond"/>
          <w:bCs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. </w:t>
      </w:r>
      <w:r w:rsidR="00BB1ACB" w:rsidRPr="00313CDF">
        <w:rPr>
          <w:rFonts w:ascii="Garamond" w:eastAsiaTheme="minorHAnsi" w:hAnsi="Garamond"/>
          <w:bCs/>
          <w:sz w:val="22"/>
          <w:szCs w:val="22"/>
          <w:lang w:eastAsia="en-US"/>
        </w:rPr>
        <w:t>travnja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 202</w:t>
      </w:r>
      <w:r w:rsidR="00BB1ACB" w:rsidRPr="00313CDF">
        <w:rPr>
          <w:rFonts w:ascii="Garamond" w:eastAsiaTheme="minorHAnsi" w:hAnsi="Garamond"/>
          <w:bCs/>
          <w:sz w:val="22"/>
          <w:szCs w:val="22"/>
          <w:lang w:eastAsia="en-US"/>
        </w:rPr>
        <w:t>5</w:t>
      </w:r>
      <w:r w:rsidRPr="00313CDF">
        <w:rPr>
          <w:rFonts w:ascii="Garamond" w:eastAsiaTheme="minorHAnsi" w:hAnsi="Garamond"/>
          <w:bCs/>
          <w:sz w:val="22"/>
          <w:szCs w:val="22"/>
          <w:lang w:eastAsia="en-US"/>
        </w:rPr>
        <w:t>. godine donijelo je</w:t>
      </w:r>
      <w:r w:rsidR="00BB1ACB" w:rsidRPr="00313CDF">
        <w:rPr>
          <w:rFonts w:ascii="Garamond" w:eastAsiaTheme="minorHAnsi" w:hAnsi="Garamond"/>
          <w:bCs/>
          <w:sz w:val="22"/>
          <w:szCs w:val="22"/>
          <w:lang w:eastAsia="en-US"/>
        </w:rPr>
        <w:t xml:space="preserve">: </w:t>
      </w:r>
    </w:p>
    <w:p w14:paraId="27C6817F" w14:textId="77777777" w:rsidR="00460171" w:rsidRPr="00313CDF" w:rsidRDefault="00460171" w:rsidP="00460171">
      <w:pPr>
        <w:jc w:val="both"/>
        <w:rPr>
          <w:rFonts w:ascii="Garamond" w:eastAsiaTheme="minorHAnsi" w:hAnsi="Garamond"/>
          <w:b/>
          <w:bCs/>
          <w:sz w:val="22"/>
          <w:szCs w:val="22"/>
          <w:lang w:eastAsia="en-US"/>
        </w:rPr>
      </w:pPr>
    </w:p>
    <w:p w14:paraId="0562BD8E" w14:textId="05A462AB" w:rsidR="00460171" w:rsidRPr="00313CDF" w:rsidRDefault="00BB1ACB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 xml:space="preserve">Godišnje izvršenje </w:t>
      </w:r>
      <w:r w:rsidR="00460171" w:rsidRPr="00313CDF">
        <w:rPr>
          <w:rFonts w:ascii="Garamond" w:eastAsiaTheme="minorHAnsi" w:hAnsi="Garamond"/>
          <w:b/>
          <w:sz w:val="22"/>
          <w:szCs w:val="22"/>
          <w:lang w:eastAsia="en-US"/>
        </w:rPr>
        <w:t>Program</w:t>
      </w:r>
      <w:r w:rsidR="00825A56" w:rsidRPr="00313CDF">
        <w:rPr>
          <w:rFonts w:ascii="Garamond" w:eastAsiaTheme="minorHAnsi" w:hAnsi="Garamond"/>
          <w:b/>
          <w:sz w:val="22"/>
          <w:szCs w:val="22"/>
          <w:lang w:eastAsia="en-US"/>
        </w:rPr>
        <w:t>a</w:t>
      </w:r>
      <w:r w:rsidR="00460171" w:rsidRPr="00313CDF">
        <w:rPr>
          <w:rFonts w:ascii="Garamond" w:eastAsiaTheme="minorHAnsi" w:hAnsi="Garamond"/>
          <w:b/>
          <w:sz w:val="22"/>
          <w:szCs w:val="22"/>
          <w:lang w:eastAsia="en-US"/>
        </w:rPr>
        <w:t xml:space="preserve"> korištenja sredstava naknade za zadržavanje</w:t>
      </w:r>
    </w:p>
    <w:p w14:paraId="380EB0F3" w14:textId="4ED14210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nezakonito izgrađenih zgrada u prostoru na području Općine Tinjan za 202</w:t>
      </w:r>
      <w:r w:rsidR="00163BEB" w:rsidRPr="00313CDF">
        <w:rPr>
          <w:rFonts w:ascii="Garamond" w:eastAsiaTheme="minorHAnsi" w:hAnsi="Garamond"/>
          <w:b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. godinu</w:t>
      </w:r>
    </w:p>
    <w:p w14:paraId="26A7353E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77B252A1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1.</w:t>
      </w:r>
    </w:p>
    <w:p w14:paraId="0F18D2CB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Ovim programom utvrđuje se namjensko korištenje dijela od 30% sredstava naknade za zadržavanje</w:t>
      </w:r>
    </w:p>
    <w:p w14:paraId="465B633A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nezakonito izgrađene zgrade u prostoru, a koji su prihod jedinice lokalne samouprave na čijem se području nezakonito izgrađena zgrada nalazi.</w:t>
      </w:r>
    </w:p>
    <w:p w14:paraId="3AFA8BBA" w14:textId="77777777" w:rsidR="00460171" w:rsidRPr="00313CDF" w:rsidRDefault="00460171" w:rsidP="00460171">
      <w:pPr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38CF2860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2.</w:t>
      </w:r>
    </w:p>
    <w:p w14:paraId="7E4CC17D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Iznos dijela od 30% naknade za zadržavanje nezakonito izgrađene zgrade u prostoru koji su prihod</w:t>
      </w:r>
    </w:p>
    <w:p w14:paraId="61A7D7B6" w14:textId="1EE57F3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Proračuna Općine Tinjan za 202</w:t>
      </w:r>
      <w:r w:rsidR="00D447E3" w:rsidRPr="00313CDF">
        <w:rPr>
          <w:rFonts w:ascii="Garamond" w:eastAsiaTheme="minorHAnsi" w:hAnsi="Garamond"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. godinu planira se u iznosu od </w:t>
      </w:r>
      <w:r w:rsidR="00991184" w:rsidRPr="00313CDF">
        <w:rPr>
          <w:rFonts w:ascii="Garamond" w:eastAsiaTheme="minorHAnsi" w:hAnsi="Garamond"/>
          <w:sz w:val="22"/>
          <w:szCs w:val="22"/>
          <w:lang w:eastAsia="en-US"/>
        </w:rPr>
        <w:t>8</w:t>
      </w:r>
      <w:r w:rsidR="00163BEB" w:rsidRPr="00313CDF">
        <w:rPr>
          <w:rFonts w:ascii="Garamond" w:eastAsiaTheme="minorHAnsi" w:hAnsi="Garamond"/>
          <w:sz w:val="22"/>
          <w:szCs w:val="22"/>
          <w:lang w:eastAsia="en-US"/>
        </w:rPr>
        <w:t>.000,00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 xml:space="preserve"> </w:t>
      </w:r>
      <w:r w:rsidR="00163BEB" w:rsidRPr="00313CDF">
        <w:rPr>
          <w:rFonts w:ascii="Garamond" w:eastAsiaTheme="minorHAnsi" w:hAnsi="Garamond"/>
          <w:sz w:val="22"/>
          <w:szCs w:val="22"/>
          <w:lang w:eastAsia="en-US"/>
        </w:rPr>
        <w:t>eur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>.</w:t>
      </w:r>
      <w:r w:rsidR="00BB1ACB" w:rsidRPr="00313CDF">
        <w:rPr>
          <w:rFonts w:ascii="Garamond" w:eastAsiaTheme="minorHAnsi" w:hAnsi="Garamond"/>
          <w:sz w:val="22"/>
          <w:szCs w:val="22"/>
          <w:lang w:eastAsia="en-US"/>
        </w:rPr>
        <w:t xml:space="preserve"> </w:t>
      </w:r>
    </w:p>
    <w:p w14:paraId="01D7E2A2" w14:textId="4421DF7B" w:rsidR="00BB1ACB" w:rsidRPr="00313CDF" w:rsidRDefault="00BB1ACB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Tjekom 2024. godine ukupno je u Proračun Općine Tinjan uplaćeno 2.421,13 eura naknade za nezakonito izgrađene građevine na području Općine Tinjan.</w:t>
      </w:r>
    </w:p>
    <w:p w14:paraId="7F0B5255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70627253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3.</w:t>
      </w:r>
    </w:p>
    <w:p w14:paraId="0BC8C647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Planirani iznos sredstava naknade iz prethodnog članka koristit će se za poboljšanje infrastrukturno</w:t>
      </w:r>
    </w:p>
    <w:p w14:paraId="306B4977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nedovoljno opremljenih naselja, odnosno tekuće održavanje nerazvrstanih cesta na području Općine Tinjan.</w:t>
      </w:r>
    </w:p>
    <w:p w14:paraId="1EEE3280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33140AEE" w14:textId="77777777" w:rsidR="00460171" w:rsidRPr="00313CDF" w:rsidRDefault="00460171" w:rsidP="00460171">
      <w:pPr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b/>
          <w:sz w:val="22"/>
          <w:szCs w:val="22"/>
          <w:lang w:eastAsia="en-US"/>
        </w:rPr>
        <w:t>Članak 4.</w:t>
      </w:r>
    </w:p>
    <w:p w14:paraId="22F4094E" w14:textId="1C5A7CAE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Ovaj Program stupa na snagu osmog dana od dana objave u Službenim novinama Općine Tinjan, a primjenjuje se od 01.01.202</w:t>
      </w:r>
      <w:r w:rsidR="001A18B0" w:rsidRPr="00313CDF">
        <w:rPr>
          <w:rFonts w:ascii="Garamond" w:eastAsiaTheme="minorHAnsi" w:hAnsi="Garamond"/>
          <w:sz w:val="22"/>
          <w:szCs w:val="22"/>
          <w:lang w:eastAsia="en-US"/>
        </w:rPr>
        <w:t>4</w:t>
      </w:r>
      <w:r w:rsidRPr="00313CDF">
        <w:rPr>
          <w:rFonts w:ascii="Garamond" w:eastAsiaTheme="minorHAnsi" w:hAnsi="Garamond"/>
          <w:sz w:val="22"/>
          <w:szCs w:val="22"/>
          <w:lang w:eastAsia="en-US"/>
        </w:rPr>
        <w:t>.godine.</w:t>
      </w:r>
    </w:p>
    <w:p w14:paraId="0715BBB3" w14:textId="77777777" w:rsidR="00460171" w:rsidRPr="00313CDF" w:rsidRDefault="00460171" w:rsidP="00460171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</w:p>
    <w:p w14:paraId="7D23D16F" w14:textId="77777777" w:rsidR="00BB1ACB" w:rsidRPr="00313CDF" w:rsidRDefault="00BB1ACB" w:rsidP="00BB1ACB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62267A3F" w14:textId="46F1F1B1" w:rsidR="00BB1ACB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2163-37-02/02-25-9</w:t>
      </w:r>
    </w:p>
    <w:p w14:paraId="080AFAC3" w14:textId="22AC7E68" w:rsidR="00460171" w:rsidRPr="00313CDF" w:rsidRDefault="00BB1ACB" w:rsidP="00BB1ACB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2842D180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266BD9FE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OPĆINSKO VIJEĆE OPĆINE TINJAN</w:t>
      </w:r>
    </w:p>
    <w:p w14:paraId="1296AB7C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Predsjednik Općinskog vijeća</w:t>
      </w:r>
    </w:p>
    <w:p w14:paraId="393D6F17" w14:textId="77777777" w:rsidR="00460171" w:rsidRPr="00313CDF" w:rsidRDefault="00460171" w:rsidP="00460171">
      <w:pPr>
        <w:jc w:val="center"/>
        <w:rPr>
          <w:rFonts w:ascii="Garamond" w:eastAsiaTheme="minorHAnsi" w:hAnsi="Garamond"/>
          <w:sz w:val="22"/>
          <w:szCs w:val="22"/>
          <w:lang w:eastAsia="en-US"/>
        </w:rPr>
      </w:pPr>
      <w:r w:rsidRPr="00313CDF">
        <w:rPr>
          <w:rFonts w:ascii="Garamond" w:eastAsiaTheme="minorHAnsi" w:hAnsi="Garamond"/>
          <w:sz w:val="22"/>
          <w:szCs w:val="22"/>
          <w:lang w:eastAsia="en-US"/>
        </w:rPr>
        <w:t>Igor Antolović, v.r.</w:t>
      </w:r>
    </w:p>
    <w:p w14:paraId="04DBA44B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793A8A0A" w14:textId="77777777" w:rsidR="00460171" w:rsidRPr="00313CDF" w:rsidRDefault="00460171" w:rsidP="00460171">
      <w:pPr>
        <w:rPr>
          <w:rFonts w:ascii="Garamond" w:eastAsiaTheme="minorHAnsi" w:hAnsi="Garamond"/>
          <w:sz w:val="22"/>
          <w:szCs w:val="22"/>
          <w:lang w:eastAsia="en-US"/>
        </w:rPr>
      </w:pPr>
    </w:p>
    <w:p w14:paraId="72D73535" w14:textId="77777777" w:rsidR="00BB1ACB" w:rsidRPr="00313CDF" w:rsidRDefault="00BB1ACB">
      <w:pPr>
        <w:rPr>
          <w:rFonts w:ascii="Garamond" w:hAnsi="Garamond"/>
          <w:sz w:val="22"/>
          <w:szCs w:val="22"/>
        </w:rPr>
      </w:pPr>
    </w:p>
    <w:sectPr w:rsidR="00BB1ACB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911EB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441D9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2</cp:revision>
  <cp:lastPrinted>2021-12-14T13:14:00Z</cp:lastPrinted>
  <dcterms:created xsi:type="dcterms:W3CDTF">2025-04-17T08:28:00Z</dcterms:created>
  <dcterms:modified xsi:type="dcterms:W3CDTF">2025-04-17T08:28:00Z</dcterms:modified>
</cp:coreProperties>
</file>